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7F" w:rsidRDefault="002715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7157F" w:rsidRDefault="0027157F">
      <w:pPr>
        <w:pStyle w:val="ConsPlusNormal"/>
        <w:jc w:val="both"/>
        <w:outlineLvl w:val="0"/>
      </w:pPr>
    </w:p>
    <w:p w:rsidR="0027157F" w:rsidRDefault="0027157F">
      <w:pPr>
        <w:pStyle w:val="ConsPlusNormal"/>
        <w:outlineLvl w:val="0"/>
      </w:pPr>
      <w:r>
        <w:t>Зарегистрировано в Минюсте России 18 января 2016 г. N 40622</w:t>
      </w:r>
    </w:p>
    <w:p w:rsidR="0027157F" w:rsidRDefault="002715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7157F" w:rsidRDefault="0027157F">
      <w:pPr>
        <w:pStyle w:val="ConsPlusTitle"/>
        <w:jc w:val="center"/>
      </w:pPr>
    </w:p>
    <w:p w:rsidR="0027157F" w:rsidRDefault="0027157F">
      <w:pPr>
        <w:pStyle w:val="ConsPlusTitle"/>
        <w:jc w:val="center"/>
      </w:pPr>
      <w:r>
        <w:t>ПРИКАЗ</w:t>
      </w:r>
    </w:p>
    <w:p w:rsidR="0027157F" w:rsidRDefault="0027157F">
      <w:pPr>
        <w:pStyle w:val="ConsPlusTitle"/>
        <w:jc w:val="center"/>
      </w:pPr>
      <w:r>
        <w:t>от 14 декабря 2015 г. N 1470</w:t>
      </w:r>
    </w:p>
    <w:p w:rsidR="0027157F" w:rsidRDefault="0027157F">
      <w:pPr>
        <w:pStyle w:val="ConsPlusTitle"/>
        <w:jc w:val="center"/>
      </w:pPr>
    </w:p>
    <w:p w:rsidR="0027157F" w:rsidRDefault="0027157F">
      <w:pPr>
        <w:pStyle w:val="ConsPlusTitle"/>
        <w:jc w:val="center"/>
      </w:pPr>
      <w:r>
        <w:t>ОБ УТВЕРЖДЕНИИ</w:t>
      </w:r>
    </w:p>
    <w:p w:rsidR="0027157F" w:rsidRDefault="0027157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7157F" w:rsidRDefault="0027157F">
      <w:pPr>
        <w:pStyle w:val="ConsPlusTitle"/>
        <w:jc w:val="center"/>
      </w:pPr>
      <w:r>
        <w:t>ВЫСШЕГО ОБРАЗОВАНИЯ ПО НАПРАВЛЕНИЮ ПОДГОТОВКИ 23.03.03</w:t>
      </w:r>
    </w:p>
    <w:p w:rsidR="0027157F" w:rsidRDefault="0027157F">
      <w:pPr>
        <w:pStyle w:val="ConsPlusTitle"/>
        <w:jc w:val="center"/>
      </w:pPr>
      <w:r>
        <w:t>ЭКСПЛУАТАЦИЯ ТРАНСПОРТНО-ТЕХНОЛОГИЧЕСКИХ МАШИН</w:t>
      </w:r>
    </w:p>
    <w:p w:rsidR="0027157F" w:rsidRDefault="0027157F">
      <w:pPr>
        <w:pStyle w:val="ConsPlusTitle"/>
        <w:jc w:val="center"/>
      </w:pPr>
      <w:r>
        <w:t>И КОМПЛЕКСОВ (УРОВЕНЬ БАКАЛАВРИАТА)</w:t>
      </w:r>
    </w:p>
    <w:p w:rsidR="0027157F" w:rsidRDefault="00271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1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157F" w:rsidRDefault="002715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157F" w:rsidRDefault="002715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20.04.2016 N 444)</w:t>
            </w:r>
          </w:p>
        </w:tc>
      </w:tr>
    </w:tbl>
    <w:p w:rsidR="0027157F" w:rsidRDefault="0027157F">
      <w:pPr>
        <w:pStyle w:val="ConsPlusNormal"/>
        <w:jc w:val="center"/>
      </w:pPr>
    </w:p>
    <w:p w:rsidR="0027157F" w:rsidRDefault="0027157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8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0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23.03.03 Эксплуатация транспортно-технологических машин и комплексов (уровень бакалавриата).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7157F" w:rsidRDefault="0027157F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8 декабря 2009 г. N 706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190600 Эксплуатация транспортно-технологических машин и комплексов (квалификация (степень) "бакалавр")" (зарегистрирован Министерством юстиции Российской Федерации 8 февраля 2010 г., регистрационный N 16310);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34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27157F" w:rsidRDefault="00271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1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157F" w:rsidRDefault="00271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157F" w:rsidRDefault="0027157F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119 изменений, а не пункт 122.</w:t>
            </w:r>
          </w:p>
        </w:tc>
      </w:tr>
    </w:tbl>
    <w:p w:rsidR="0027157F" w:rsidRDefault="0027157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122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right"/>
      </w:pPr>
      <w:r>
        <w:t>Министр</w:t>
      </w:r>
    </w:p>
    <w:p w:rsidR="0027157F" w:rsidRDefault="0027157F">
      <w:pPr>
        <w:pStyle w:val="ConsPlusNormal"/>
        <w:jc w:val="right"/>
      </w:pPr>
      <w:r>
        <w:t>Д.В.ЛИВАНОВ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right"/>
        <w:outlineLvl w:val="0"/>
      </w:pPr>
      <w:r>
        <w:t>Приложение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right"/>
      </w:pPr>
      <w:r>
        <w:t>Утвержден</w:t>
      </w:r>
    </w:p>
    <w:p w:rsidR="0027157F" w:rsidRDefault="0027157F">
      <w:pPr>
        <w:pStyle w:val="ConsPlusNormal"/>
        <w:jc w:val="right"/>
      </w:pPr>
      <w:r>
        <w:t>приказом Министерства образования</w:t>
      </w:r>
    </w:p>
    <w:p w:rsidR="0027157F" w:rsidRDefault="0027157F">
      <w:pPr>
        <w:pStyle w:val="ConsPlusNormal"/>
        <w:jc w:val="right"/>
      </w:pPr>
      <w:r>
        <w:t>и науки Российской Федерации</w:t>
      </w:r>
    </w:p>
    <w:p w:rsidR="0027157F" w:rsidRDefault="0027157F">
      <w:pPr>
        <w:pStyle w:val="ConsPlusNormal"/>
        <w:jc w:val="right"/>
      </w:pPr>
      <w:r>
        <w:t>от 14 декабря 2015 г. N 1470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Title"/>
        <w:jc w:val="center"/>
      </w:pPr>
      <w:bookmarkStart w:id="0" w:name="P40"/>
      <w:bookmarkEnd w:id="0"/>
      <w:r>
        <w:t>ФЕДЕРАЛЬНЫЙ ГОСУДАРСТВЕННЫЙ ОБРАЗОВАТЕЛЬНЫЙ СТАНДАРТ</w:t>
      </w:r>
    </w:p>
    <w:p w:rsidR="0027157F" w:rsidRDefault="0027157F">
      <w:pPr>
        <w:pStyle w:val="ConsPlusTitle"/>
        <w:jc w:val="center"/>
      </w:pPr>
      <w:r>
        <w:t>ВЫСШЕГО ОБРАЗОВАНИЯ</w:t>
      </w:r>
    </w:p>
    <w:p w:rsidR="0027157F" w:rsidRDefault="0027157F">
      <w:pPr>
        <w:pStyle w:val="ConsPlusTitle"/>
        <w:jc w:val="center"/>
      </w:pPr>
    </w:p>
    <w:p w:rsidR="0027157F" w:rsidRDefault="0027157F">
      <w:pPr>
        <w:pStyle w:val="ConsPlusTitle"/>
        <w:jc w:val="center"/>
      </w:pPr>
      <w:r>
        <w:t>УРОВЕНЬ ВЫСШЕГО ОБРАЗОВАНИЯ</w:t>
      </w:r>
    </w:p>
    <w:p w:rsidR="0027157F" w:rsidRDefault="0027157F">
      <w:pPr>
        <w:pStyle w:val="ConsPlusTitle"/>
        <w:jc w:val="center"/>
      </w:pPr>
      <w:r>
        <w:t>БАКАЛАВРИАТ</w:t>
      </w:r>
    </w:p>
    <w:p w:rsidR="0027157F" w:rsidRDefault="0027157F">
      <w:pPr>
        <w:pStyle w:val="ConsPlusTitle"/>
        <w:jc w:val="center"/>
      </w:pPr>
    </w:p>
    <w:p w:rsidR="0027157F" w:rsidRDefault="0027157F">
      <w:pPr>
        <w:pStyle w:val="ConsPlusTitle"/>
        <w:jc w:val="center"/>
      </w:pPr>
      <w:r>
        <w:t>НАПРАВЛЕНИЕ ПОДГОТОВКИ</w:t>
      </w:r>
    </w:p>
    <w:p w:rsidR="0027157F" w:rsidRDefault="0027157F">
      <w:pPr>
        <w:pStyle w:val="ConsPlusTitle"/>
        <w:jc w:val="center"/>
      </w:pPr>
      <w:r>
        <w:t xml:space="preserve">23.03.03 ЭКСПЛУАТАЦИЯ </w:t>
      </w:r>
      <w:proofErr w:type="gramStart"/>
      <w:r>
        <w:t>ТРАНСПОРТНО-ТЕХНОЛОГИЧЕСКИХ</w:t>
      </w:r>
      <w:proofErr w:type="gramEnd"/>
    </w:p>
    <w:p w:rsidR="0027157F" w:rsidRDefault="0027157F">
      <w:pPr>
        <w:pStyle w:val="ConsPlusTitle"/>
        <w:jc w:val="center"/>
      </w:pPr>
      <w:r>
        <w:t>МАШИН И КОМПЛЕКСОВ</w:t>
      </w:r>
    </w:p>
    <w:p w:rsidR="0027157F" w:rsidRDefault="00271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1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157F" w:rsidRDefault="002715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157F" w:rsidRDefault="002715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20.04.2016 N 444)</w:t>
            </w:r>
          </w:p>
        </w:tc>
      </w:tr>
    </w:tbl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I. ОБЛАСТЬ ПРИМЕНЕНИЯ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23.03.03 Эксплуатация транспортно-технологических машин и комплексов (далее соответственно - программа бакалавриата, направление подготовки).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II. ИСПОЛЬЗУЕМЫЕ СОКРАЩЕНИЯ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3.3. Срок получения образования по программе бакалавриата: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lastRenderedPageBreak/>
        <w:t>IV. ХАРАКТЕРИСТИКА ПРОФЕССИОНАЛЬНОЙ ДЕЯТЕЛЬНОСТИ</w:t>
      </w:r>
    </w:p>
    <w:p w:rsidR="0027157F" w:rsidRDefault="0027157F">
      <w:pPr>
        <w:pStyle w:val="ConsPlusNormal"/>
        <w:jc w:val="center"/>
      </w:pPr>
      <w:r>
        <w:t>ВЫПУСКНИКОВ, ОСВОИВШИХ ПРОГРАММУ БАКАЛАВРИАТА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области науки и техники, связанные с эксплуатацией, ремонтом и сервисным обслуживанием транспортных и транспортно-технологических машин различного назначения (транспортных, подъемно-транспортных, портовых, строительных, дорожно-строительных, сельскохозяйственных, специальных и иных машин и их комплексов), их агрегатов, систем и элементов.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транспортные и технологические машины, предприятия и организации, проводящие их эксплуатацию, хранение, заправку, техническое обслуживание, ремонт и сервис, а также материально-техническое обеспечение эксплуатационных предприятий и владельцев транспортных сре</w:t>
      </w:r>
      <w:proofErr w:type="gramStart"/>
      <w:r>
        <w:t>дств вс</w:t>
      </w:r>
      <w:proofErr w:type="gramEnd"/>
      <w:r>
        <w:t>ех форм собственности.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расчетно-проектная;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производственно-технологическая;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экспериментально-исследовательская;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организационно-управленческая;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монтажно-наладочная;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сервисно-эксплуатационная.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расчетно-проектная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участие в составе коллектива исполнителей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>участие в составе коллектива исполнителей в формировании целей проекта (программы), определении критериев и показателей достижения целей, построение структуры их взаимосвязей, выявление приоритетов решения задач с учетом нравственных аспектов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разработке обобщенных вариантов решения проблемы, анализ этих вариантов, прогнозирование последствий, нахождение компромиссных решений;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разработке проектов объектов профессиональной деятельности с учетом механико-технологических, эстетических, экологических и экономических требований;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проектировании деталей, механизмов, машин, их оборудования и агрегатов;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использование информационных технологий при проектировании и разработке в составе коллектива исполнителей новых видов транспортных и транспортно-технологических машин и транспортного оборудования, а также транспортных предприятий;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разработке конструкторской и технологической документации для ремонта, модернизации и модификации транспортных и транспортно-технологических машин и транспортного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производственио-технологическая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организация рабочих мест, их техническое оснащение, размещение технологического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технологической дисциплины;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обслуживание транспортных и транспортно-технологических машин и транспортного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продукции,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деталей, узлов и агрегатов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реализация мер экологической безопасности;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организация работы малых коллективов исполнителей, планирование работы персонала и фондов оплаты труда;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выполнение работ по стандартизации и подготовке к сертификации технических средств, систем, процессов, оборудования и материалов;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исполнение </w:t>
      </w:r>
      <w:proofErr w:type="gramStart"/>
      <w:r>
        <w:t>документации системы менеджмента качества предприятия</w:t>
      </w:r>
      <w:proofErr w:type="gramEnd"/>
      <w:r>
        <w:t>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проведение организационно-плановых расчетов по реорганизации производственного участка;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разработка оперативных планов работы первичного производственного подразделения;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>проведение анализа затрат и результатов деятельности производственного подразделения;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выполнение работ по одной или нескольким профессиям рабочих;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экспериментально-исследовательская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изучение и анализ научно-технической информации, отечественного и зарубежного опыта по профилю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фундаментальных и прикладных исследованиях в области профессиональной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анализ в составе коллектива исполнителей состояния и динамики показателей качества объектов профессиональной деятельности с использованием необходимых методов и средств исследований;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создание в составе коллектива исполнителей моделей, позволяющих прогнозировать свойства объектов профессиональной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разработка в составе коллектива исполнителей планов, программ и методик проведения исследований объектов профессиональной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анализе, синтезе и оптимизации процессов обеспечения качества испытаний, сертификации продукции и услуг с применением проблемно-ориентированных методов;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информационный поиск и анализ информации по объектам исследований;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техническое, организационное обеспечение и реализация исследований;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анализе результатов исследований и разработке предложений по их внедрению;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выполнении опытно-конструкторских разработок;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обосновании и применении новых информационных технологий;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организации работы коллектива исполнителей, выборе, обосновании, принятии и реализации управленческих решений;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совершенствовании организационно-управленческой структуры предприятий по эксплуатации, хранению, техническому обслуживанию, ремонту и сервису 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организации и совершенствовании системы учета и документооборота;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выборе и, при необходимости, разработке рациональных нормативов эксплуатации, технического обслуживания, ремонта и хранения транспортных,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участие в составе коллектива исполнителей в нахождении компромисса между различными </w:t>
      </w:r>
      <w:r>
        <w:lastRenderedPageBreak/>
        <w:t>требованиями (стоимости, качества, безопасности, сроков исполнения) при долгосрочном и краткосрочном планировании, а также определение рационального решения;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оценке производственных и непроизводственных затрат на обеспечение качества продукции и услуг;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осуществлении технического контроля и управлении качеством изделий, продукции и услуг;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составе коллектива исполнителей в совершенствовании системы оплаты труда персонала;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монтажно-наладочная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монтаж и наладка оборудования для технического обслуживания и ремонта транспортных и транспортно-технологических машин и оборудования, участие в авторском и инспекторском надзоре;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монтаж, участие в наладке, испытании и сдаче в эксплуатацию технологического оборудования, приборов, узлов, систем и деталей для производственных испытаний транспортных и транспортно-технологических машин и оборудования различного назначения;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выполнение работ по одной или нескольким профессиям рабочих;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сервисно-эксплуатационная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обеспечение эксплуатации транспортных и транспортно-технологических машин и оборудования, используемых в отраслях народного хозяйства в соответствии с требованиями нормативно-технических документов;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проведение в составе коллектива исполнителей испытаний и определение работоспособности установленного технологического оборудования, эксплуатируемых и ремонтируемых 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выбор оборудования и агрегатов для замены в процессе эксплуатации транспортных и транспортно-технологических машин, транспортного оборудования, их элементов и систем;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участие в проведении работ по техническому обслуживанию и ремонту 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организация безопасного ведения работ по монтажу и наладке 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проведение маркетингового анализа потребности в сервисных услугах при эксплуатации транспортных и транспортно-технологических машин и транспортного оборудования различных форм собственности;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организация работы с клиентами;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надзор за безопасной эксплуатацией 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разработка в составе коллектива исполнителей эксплуатационной документации;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организация в составе коллектива исполнителей экспертиз и аудита при проведении сертификации производимых деталей, узлов, агрегатов и систем для транспортных и транспортно-технологических машин и оборудования, услуг и работ по техническому обслуживанию и ремонту </w:t>
      </w:r>
      <w:r>
        <w:lastRenderedPageBreak/>
        <w:t>транспортных и транспортно-технологических машин и оборудования;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подготовка и разработка в составе коллектива исполнителей сертификационных и лицензионных документов;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выполнение работ по одной или нескольким профессиям рабочих.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самоорганизации и самообразованию (ОК-7);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(ОК-10).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научными основами технологических процессов в области эксплуатации транспортно-технологических машин и комплексов (ОПК-2);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готовностью применять систему фундаментальных знаний (математических, естественнонаучных, инженерных и экономических) для идентификации, формулирования и </w:t>
      </w:r>
      <w:r>
        <w:lastRenderedPageBreak/>
        <w:t>решения технических и технологических проблем эксплуатации транспортно-технологических машин и комплексов (ОПК-3);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применять в практической деятельности принципы рационального использования природных ресурсов и защиты окружающей среды (ОПК-4).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расчетно-проектная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транспортных и транспортно-технологических машин и оборудования (ПК-1);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 (ПК-2);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 (ПК-3);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содействовать подготовке процесса их выполнения, обеспечению необходимыми техническими данными, материалами, оборудованием (ПК-4);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владением основами методики разработки проектов и программ для отрасли, проведения необходимых мероприятий, связанных с безопасной и эффективной эксплуатацией транспортных и транспортно-технологических машин и оборудования различного назначения, их агрегатов, систем и элементов, а также выполнения работ по стандартизации технических средств, систем, процессов, оборудования и материалов, по рассмотрению и анализу различной технической документации (ПК-5);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о порядке согласования проектной документации предприятий по эксплуатации транспортных и транспортно-технологических машин и оборудования, включая предприятия сервиса, технической эксплуатации и фирменного ремонта, получении разрешительной документации на их деятельность (ПК-6);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участию в составе коллектива исполнителей к разработке транспортных и транспортно-технологических процессов, их элементов и технологической документации (ПК-7);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разрабатывать и использовать графическую техническую документацию (ПК-8);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участию в составе коллектива исполнителей в проведении исследования и моделирования транспортных и транспортно-технологических процессов и их элементов (ПК-9);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способностью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</w:t>
      </w:r>
      <w:r>
        <w:lastRenderedPageBreak/>
        <w:t>стоимости (ПК-10);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 (ПК-11);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направлений полезного использования природных ресурсов, энергии и материалов при эксплуатации, ремонте и сервисном обслуживании транспортных и транспортно-технологических машин и оборудования различного назначения, их агрегатов, систем и элементов (ПК-12);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 (ПК-13);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 (ПК-14);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 (ПК-15);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 (ПК-16);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(ПК-17);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экспериментально-исследовательская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анализу передового научно-технического опыта и тенденций развития технологий эксплуатации транспортных и транспортно-технологических машин и оборудования (ПК-18);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в составе коллектива исполнителей к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 (ПК-19);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выполнению в составе коллектива исполнителей лабораторных, стендовых, полигонных, приемо-сдаточных и иных видов испытаний систем и средств, находящихся в эксплуатации транспортных и транспортно-технологических машин и оборудования (ПК-20);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проводить измерительный эксперимент и оценивать результаты измерений (ПК-21);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элементов, проводить необходимые расчеты, используя современные технические средства (ПК-22);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>готовностью к участию в составе коллектива исполнителей в организации и выполнении транспортных и транспортно-технологических процессов (ПК-23);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участию в составе коллектива исполнителей к деятельности по организации управления качеством эксплуатации транспортных и транспортно-технологических машин и оборудования (ПК-24);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к работе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 (ПК-25);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использовать приемы и методы работы с персоналом, методы оценки качества и результативности труда персонала (ПК-26);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кооперации с коллегами по работе в коллективе, к совершенствованию документооборота в сфере планирования и управления оперативной деятельностью эксплуатационной организации (ПК-27);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к проведению в составе коллектива исполнителей технико-экономического анализа, поиска путей сокращения цикла выполнения работ (ПК-28);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 (ПК-29);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 (ПК-30);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в составе коллектива исполнителей к оценке затрат и результатов деятельности эксплуатационной организации (ПК-31);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в составе коллектива исполнителей к использованию основных нормативных документов по вопросам интеллектуальной собственности, проводить поиск по источникам патентной информации (ПК-32);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 (ПК-33);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монтажно-наладочная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 (ПК-34);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методами опытной проверки технологического оборудования и средств технологического обеспечения, используемых в отрасли (ПК-35);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(ПК-36);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сервисно-эксплуатационная деятельность: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владением знаниями законодательства в сфере экономики, действующего на предприятиях </w:t>
      </w:r>
      <w:r>
        <w:lastRenderedPageBreak/>
        <w:t>сервиса и фирменного обслуживания, их применения в условиях рыночного хозяйства страны (ПК-37);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 (ПК-38);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в практической деятельности данные оценки технического состояния транспортных и транспортно-технологических машин и оборудования, полученные с применением диагностической аппаратуры и по косвенным признакам (ПК-39);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определять рациональные формы поддержания и восстановления работоспособности транспортных и транспортно-технологических машин и оборудования (ПК-40);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 (ПК-41);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способностью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 (ПК-42);</w:t>
      </w:r>
    </w:p>
    <w:p w:rsidR="0027157F" w:rsidRDefault="0027157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владением знаниями нормативов выбора и расстановки технологического оборудования (ПК-43);</w:t>
      </w:r>
    </w:p>
    <w:p w:rsidR="0027157F" w:rsidRDefault="0027157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способностью к проведению инструментального и визуального </w:t>
      </w:r>
      <w:proofErr w:type="gramStart"/>
      <w:r>
        <w:t>контроля за</w:t>
      </w:r>
      <w:proofErr w:type="gramEnd"/>
      <w:r>
        <w:t xml:space="preserve"> качеством топливно-смазочных и других расходных материалов, корректировки режимов их использования (ПК-44);</w:t>
      </w:r>
    </w:p>
    <w:p w:rsidR="0027157F" w:rsidRDefault="0027157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(ПК-45).</w:t>
      </w:r>
    </w:p>
    <w:p w:rsidR="0027157F" w:rsidRDefault="0027157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 xml:space="preserve"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</w:t>
      </w:r>
      <w:r>
        <w:lastRenderedPageBreak/>
        <w:t>(профиль) программы).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6.2. Программа бакалавриата состоит из следующих блоков:</w:t>
      </w:r>
    </w:p>
    <w:p w:rsidR="0027157F" w:rsidRDefault="0027157F">
      <w:pPr>
        <w:pStyle w:val="ConsPlusNormal"/>
        <w:spacing w:before="220"/>
        <w:ind w:firstLine="540"/>
        <w:jc w:val="both"/>
      </w:pPr>
      <w:hyperlink w:anchor="P25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27157F" w:rsidRDefault="0027157F">
      <w:pPr>
        <w:pStyle w:val="ConsPlusNormal"/>
        <w:spacing w:before="220"/>
        <w:ind w:firstLine="540"/>
        <w:jc w:val="both"/>
      </w:pPr>
      <w:hyperlink w:anchor="P267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27157F" w:rsidRDefault="0027157F">
      <w:pPr>
        <w:pStyle w:val="ConsPlusNormal"/>
        <w:spacing w:before="220"/>
        <w:ind w:firstLine="540"/>
        <w:jc w:val="both"/>
      </w:pPr>
      <w:hyperlink w:anchor="P27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27157F" w:rsidRDefault="0027157F">
      <w:pPr>
        <w:pStyle w:val="ConsPlusNormal"/>
        <w:jc w:val="both"/>
      </w:pPr>
    </w:p>
    <w:p w:rsidR="0027157F" w:rsidRDefault="0027157F">
      <w:pPr>
        <w:sectPr w:rsidR="0027157F" w:rsidSect="00804C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157F" w:rsidRDefault="0027157F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right"/>
      </w:pPr>
      <w:r>
        <w:t>Таблица</w:t>
      </w:r>
    </w:p>
    <w:p w:rsidR="0027157F" w:rsidRDefault="0027157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4680"/>
        <w:gridCol w:w="1980"/>
        <w:gridCol w:w="1980"/>
      </w:tblGrid>
      <w:tr w:rsidR="0027157F">
        <w:tc>
          <w:tcPr>
            <w:tcW w:w="5822" w:type="dxa"/>
            <w:gridSpan w:val="2"/>
            <w:vMerge w:val="restart"/>
          </w:tcPr>
          <w:p w:rsidR="0027157F" w:rsidRDefault="0027157F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27157F" w:rsidRDefault="0027157F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27157F">
        <w:tc>
          <w:tcPr>
            <w:tcW w:w="5822" w:type="dxa"/>
            <w:gridSpan w:val="2"/>
            <w:vMerge/>
          </w:tcPr>
          <w:p w:rsidR="0027157F" w:rsidRDefault="0027157F"/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27157F">
        <w:tc>
          <w:tcPr>
            <w:tcW w:w="1142" w:type="dxa"/>
          </w:tcPr>
          <w:p w:rsidR="0027157F" w:rsidRDefault="0027157F">
            <w:pPr>
              <w:pStyle w:val="ConsPlusNormal"/>
            </w:pPr>
            <w:bookmarkStart w:id="1" w:name="P256"/>
            <w:bookmarkEnd w:id="1"/>
            <w:r>
              <w:t>Блок 1</w:t>
            </w:r>
          </w:p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201</w:t>
            </w:r>
          </w:p>
        </w:tc>
      </w:tr>
      <w:tr w:rsidR="0027157F">
        <w:tc>
          <w:tcPr>
            <w:tcW w:w="1142" w:type="dxa"/>
            <w:vMerge w:val="restart"/>
          </w:tcPr>
          <w:p w:rsidR="0027157F" w:rsidRDefault="0027157F">
            <w:pPr>
              <w:pStyle w:val="ConsPlusNormal"/>
            </w:pPr>
          </w:p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105 - 120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96 - 112</w:t>
            </w:r>
          </w:p>
        </w:tc>
      </w:tr>
      <w:tr w:rsidR="0027157F">
        <w:tc>
          <w:tcPr>
            <w:tcW w:w="1142" w:type="dxa"/>
            <w:vMerge/>
          </w:tcPr>
          <w:p w:rsidR="0027157F" w:rsidRDefault="0027157F"/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92 - 107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89 - 105</w:t>
            </w:r>
          </w:p>
        </w:tc>
      </w:tr>
      <w:tr w:rsidR="0027157F">
        <w:tc>
          <w:tcPr>
            <w:tcW w:w="1142" w:type="dxa"/>
            <w:vMerge w:val="restart"/>
          </w:tcPr>
          <w:p w:rsidR="0027157F" w:rsidRDefault="0027157F">
            <w:pPr>
              <w:pStyle w:val="ConsPlusNormal"/>
            </w:pPr>
            <w:bookmarkStart w:id="2" w:name="P267"/>
            <w:bookmarkEnd w:id="2"/>
            <w:r>
              <w:t>Блок 2</w:t>
            </w:r>
          </w:p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Практики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30 - 33</w:t>
            </w:r>
          </w:p>
        </w:tc>
      </w:tr>
      <w:tr w:rsidR="0027157F">
        <w:tc>
          <w:tcPr>
            <w:tcW w:w="1142" w:type="dxa"/>
            <w:vMerge/>
          </w:tcPr>
          <w:p w:rsidR="0027157F" w:rsidRDefault="0027157F"/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30 - 33</w:t>
            </w:r>
          </w:p>
        </w:tc>
      </w:tr>
      <w:tr w:rsidR="0027157F">
        <w:tc>
          <w:tcPr>
            <w:tcW w:w="1142" w:type="dxa"/>
            <w:vMerge w:val="restart"/>
          </w:tcPr>
          <w:p w:rsidR="0027157F" w:rsidRDefault="0027157F">
            <w:pPr>
              <w:pStyle w:val="ConsPlusNormal"/>
            </w:pPr>
            <w:bookmarkStart w:id="3" w:name="P274"/>
            <w:bookmarkEnd w:id="3"/>
            <w:r>
              <w:t>Блок 3</w:t>
            </w:r>
          </w:p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6 - 9</w:t>
            </w:r>
          </w:p>
        </w:tc>
      </w:tr>
      <w:tr w:rsidR="0027157F">
        <w:tc>
          <w:tcPr>
            <w:tcW w:w="1142" w:type="dxa"/>
            <w:vMerge/>
          </w:tcPr>
          <w:p w:rsidR="0027157F" w:rsidRDefault="0027157F"/>
        </w:tc>
        <w:tc>
          <w:tcPr>
            <w:tcW w:w="4680" w:type="dxa"/>
          </w:tcPr>
          <w:p w:rsidR="0027157F" w:rsidRDefault="0027157F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6 - 9</w:t>
            </w:r>
          </w:p>
        </w:tc>
      </w:tr>
      <w:tr w:rsidR="0027157F">
        <w:tc>
          <w:tcPr>
            <w:tcW w:w="5822" w:type="dxa"/>
            <w:gridSpan w:val="2"/>
          </w:tcPr>
          <w:p w:rsidR="0027157F" w:rsidRDefault="0027157F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0" w:type="dxa"/>
          </w:tcPr>
          <w:p w:rsidR="0027157F" w:rsidRDefault="0027157F">
            <w:pPr>
              <w:pStyle w:val="ConsPlusNormal"/>
              <w:jc w:val="center"/>
            </w:pPr>
            <w:r>
              <w:t>240</w:t>
            </w:r>
          </w:p>
        </w:tc>
      </w:tr>
    </w:tbl>
    <w:p w:rsidR="0027157F" w:rsidRDefault="0027157F">
      <w:pPr>
        <w:sectPr w:rsidR="002715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5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базовой части </w:t>
      </w:r>
      <w:hyperlink w:anchor="P25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6.7. В </w:t>
      </w:r>
      <w:hyperlink w:anchor="P267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Способы проведения учебной практики: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стационарная.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технологическая практика.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Способы проведения производственной практики: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стационарная;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>выездная.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6.8. В </w:t>
      </w:r>
      <w:hyperlink w:anchor="P27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5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5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27157F" w:rsidRDefault="0027157F">
      <w:pPr>
        <w:pStyle w:val="ConsPlusNormal"/>
        <w:jc w:val="center"/>
      </w:pPr>
      <w:r>
        <w:t>ПРОГРАММЫ БАКАЛАВРИАТА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</w:t>
      </w:r>
      <w:r>
        <w:lastRenderedPageBreak/>
        <w:t>результатов освоения программы бакалавриата;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20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lastRenderedPageBreak/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60 процентов.</w:t>
      </w:r>
      <w:proofErr w:type="gramEnd"/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5 процентов.</w:t>
      </w:r>
      <w:proofErr w:type="gramEnd"/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</w:t>
      </w:r>
      <w:r>
        <w:lastRenderedPageBreak/>
        <w:t>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27157F" w:rsidRDefault="0027157F">
      <w:pPr>
        <w:pStyle w:val="ConsPlusNormal"/>
        <w:spacing w:before="220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1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jc w:val="both"/>
      </w:pPr>
    </w:p>
    <w:p w:rsidR="0027157F" w:rsidRDefault="002715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A70" w:rsidRDefault="0027157F">
      <w:bookmarkStart w:id="4" w:name="_GoBack"/>
      <w:bookmarkEnd w:id="4"/>
    </w:p>
    <w:sectPr w:rsidR="009F2A70" w:rsidSect="00BE748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7F"/>
    <w:rsid w:val="0027157F"/>
    <w:rsid w:val="00AD3B46"/>
    <w:rsid w:val="00C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7DDBFB70ACF08DBA9E8D524CB5C603D02225698302835E56191DE37BA22E53172752A9AA3807A1C0BH" TargetMode="External"/><Relationship Id="rId13" Type="http://schemas.openxmlformats.org/officeDocument/2006/relationships/hyperlink" Target="consultantplus://offline/ref=55A7DDBFB70ACF08DBA9E8D524CB5C603E0A2A51993C2835E56191DE37BA22E53172752A9AA3817C1C00H" TargetMode="External"/><Relationship Id="rId18" Type="http://schemas.openxmlformats.org/officeDocument/2006/relationships/hyperlink" Target="consultantplus://offline/ref=55A7DDBFB70ACF08DBA9E8D524CB5C603D0B21519C362835E56191DE371B0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A7DDBFB70ACF08DBA9E8D524CB5C603E0B2B5C98302835E56191DE37BA22E53172752A9AA3807F1C0EH" TargetMode="External"/><Relationship Id="rId7" Type="http://schemas.openxmlformats.org/officeDocument/2006/relationships/hyperlink" Target="consultantplus://offline/ref=55A7DDBFB70ACF08DBA9E8D524CB5C603D022A5591302835E56191DE37BA22E53172752A9AA380781C08H" TargetMode="External"/><Relationship Id="rId12" Type="http://schemas.openxmlformats.org/officeDocument/2006/relationships/hyperlink" Target="consultantplus://offline/ref=55A7DDBFB70ACF08DBA9E8D524CB5C603E0A2A51993C2835E56191DE37BA22E53172752A9AA3817C1C01H" TargetMode="External"/><Relationship Id="rId17" Type="http://schemas.openxmlformats.org/officeDocument/2006/relationships/hyperlink" Target="consultantplus://offline/ref=55A7DDBFB70ACF08DBA9E8D524CB5C603D022B5698302835E56191DE37BA22E53172752A9AA183771C0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A7DDBFB70ACF08DBA9E8D524CB5C603E0A2A51993C2835E56191DE37BA22E53172752A9AA3817D1C09H" TargetMode="External"/><Relationship Id="rId20" Type="http://schemas.openxmlformats.org/officeDocument/2006/relationships/hyperlink" Target="consultantplus://offline/ref=55A7DDBFB70ACF08DBA9E8D524CB5C603E02205198322835E56191DE37BA22E53172752A9AA3807F1C0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7DDBFB70ACF08DBA9E8D524CB5C603E0A2A51993C2835E56191DE37BA22E53172752A9AA3817C1C01H" TargetMode="External"/><Relationship Id="rId11" Type="http://schemas.openxmlformats.org/officeDocument/2006/relationships/hyperlink" Target="consultantplus://offline/ref=55A7DDBFB70ACF08DBA9E8D524CB5C603E0A205D9F322835E56191DE37BA22E53172752A9AA386761C0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A7DDBFB70ACF08DBA9E8D524CB5C603E0A2A51993C2835E56191DE37BA22E53172752A9AA3817D1C0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5A7DDBFB70ACF08DBA9E8D524CB5C603E0A20539B342835E56191DE37BA22E53172752A9AA3807A1C0EH" TargetMode="External"/><Relationship Id="rId19" Type="http://schemas.openxmlformats.org/officeDocument/2006/relationships/hyperlink" Target="consultantplus://offline/ref=55A7DDBFB70ACF08DBA9E8D524CB5C603D0123519D302835E56191DE371B0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A7DDBFB70ACF08DBA9E8D524CB5C603E02265D9E372835E56191DE371B0AH" TargetMode="External"/><Relationship Id="rId14" Type="http://schemas.openxmlformats.org/officeDocument/2006/relationships/hyperlink" Target="consultantplus://offline/ref=55A7DDBFB70ACF08DBA9E8D524CB5C603E0A2A51993C2835E56191DE37BA22E53172752A9AA3817D1C0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7390</Words>
  <Characters>42126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TGU</Company>
  <LinksUpToDate>false</LinksUpToDate>
  <CharactersWithSpaces>49418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s22826</dc:creator>
  <cp:keywords/>
  <dc:description/>
  <cp:lastModifiedBy>s22826</cp:lastModifiedBy>
  <cp:revision>1</cp:revision>
  <dcterms:created xsi:type="dcterms:W3CDTF">2017-12-12T07:52:00Z</dcterms:created>
  <dcterms:modified xsi:type="dcterms:W3CDTF">2017-12-12T07:53:00Z</dcterms:modified>
</cp:coreProperties>
</file>